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66443" w:rsidRPr="0049314D" w:rsidRDefault="00666443" w:rsidP="00666443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666443" w:rsidRPr="00A753FD" w:rsidRDefault="00666443" w:rsidP="00666443">
      <w:pPr>
        <w:jc w:val="both"/>
        <w:rPr>
          <w:rFonts w:ascii="Times New Roman" w:hAnsi="Times New Roman"/>
          <w:b/>
          <w:i/>
          <w:iCs/>
          <w:color w:val="161515"/>
          <w:lang w:val="ru-RU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 w:rsidRPr="007B36DB">
        <w:rPr>
          <w:rFonts w:ascii="Times New Roman" w:hAnsi="Times New Roman"/>
          <w:i/>
          <w:iCs/>
          <w:color w:val="161515"/>
          <w:lang w:val="uk-UA"/>
        </w:rPr>
        <w:t xml:space="preserve">конкурс </w:t>
      </w:r>
      <w:r w:rsidRPr="002F0FBD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Pr="00C0455A">
        <w:rPr>
          <w:rFonts w:ascii="Times New Roman" w:hAnsi="Times New Roman"/>
          <w:b/>
          <w:i/>
          <w:iCs/>
          <w:color w:val="161515"/>
          <w:lang w:val="uk-UA"/>
        </w:rPr>
        <w:t>на з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акупівлю </w:t>
      </w:r>
      <w:r w:rsidR="009C7056">
        <w:rPr>
          <w:rFonts w:ascii="Times New Roman" w:hAnsi="Times New Roman"/>
          <w:b/>
          <w:i/>
          <w:iCs/>
          <w:color w:val="161515"/>
          <w:lang w:val="uk-UA"/>
        </w:rPr>
        <w:t xml:space="preserve">презервативів без вмісту латексу </w:t>
      </w:r>
      <w:r w:rsidR="009C7056">
        <w:rPr>
          <w:rFonts w:ascii="Times New Roman" w:hAnsi="Times New Roman"/>
          <w:b/>
          <w:i/>
          <w:iCs/>
          <w:color w:val="161515"/>
        </w:rPr>
        <w:t>Condoms</w:t>
      </w:r>
      <w:r w:rsidRPr="00A753FD">
        <w:rPr>
          <w:rFonts w:ascii="Times New Roman" w:hAnsi="Times New Roman"/>
          <w:b/>
          <w:i/>
          <w:iCs/>
          <w:color w:val="161515"/>
          <w:lang w:val="ru-RU"/>
        </w:rPr>
        <w:t>-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>11-2025</w:t>
      </w:r>
    </w:p>
    <w:p w:rsidR="00666443" w:rsidRPr="008F17FC" w:rsidRDefault="00666443" w:rsidP="00666443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 xml:space="preserve">Умови проведення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666443" w:rsidRPr="00E5143A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 без змін впродовж не менш ніж </w:t>
      </w:r>
      <w:r>
        <w:rPr>
          <w:rFonts w:ascii="Times New Roman" w:hAnsi="Times New Roman"/>
          <w:i/>
          <w:iCs/>
          <w:color w:val="161515"/>
          <w:lang w:val="uk-UA"/>
        </w:rPr>
        <w:t>90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(дев’яноста) днів з дня їх подачі.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в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доларах США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666443" w:rsidRPr="006A6D9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</w:t>
      </w:r>
      <w:r w:rsidRPr="00C50B17">
        <w:rPr>
          <w:rFonts w:ascii="Times New Roman" w:hAnsi="Times New Roman"/>
          <w:i/>
          <w:iCs/>
          <w:color w:val="161515"/>
          <w:lang w:val="uk-UA"/>
        </w:rPr>
        <w:t>пецифікації.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</w:t>
      </w:r>
      <w:r>
        <w:rPr>
          <w:rFonts w:ascii="Times New Roman" w:hAnsi="Times New Roman"/>
          <w:i/>
          <w:iCs/>
          <w:color w:val="161515"/>
          <w:lang w:val="uk-UA"/>
        </w:rPr>
        <w:t>еншити обсяг закупівлі у межах 2</w:t>
      </w:r>
      <w:r w:rsidRPr="00FA7F28">
        <w:rPr>
          <w:rFonts w:ascii="Times New Roman" w:hAnsi="Times New Roman"/>
          <w:i/>
          <w:iCs/>
          <w:color w:val="161515"/>
          <w:lang w:val="uk-UA"/>
        </w:rPr>
        <w:t>0% від обсягу, вказаного у специфікації.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 </w:t>
      </w:r>
      <w:r w:rsidRPr="003928EF">
        <w:rPr>
          <w:rFonts w:ascii="Times New Roman" w:hAnsi="Times New Roman"/>
          <w:i/>
          <w:iCs/>
          <w:color w:val="161515"/>
          <w:lang w:val="uk-UA"/>
        </w:rPr>
        <w:t xml:space="preserve">– 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 xml:space="preserve">не пізніше </w:t>
      </w:r>
      <w:r w:rsidR="00D53515">
        <w:rPr>
          <w:rFonts w:ascii="Times New Roman" w:hAnsi="Times New Roman"/>
          <w:b/>
          <w:i/>
          <w:iCs/>
          <w:color w:val="161515"/>
          <w:lang w:val="ru-RU"/>
        </w:rPr>
        <w:t>12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 xml:space="preserve"> грудня 2025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15:00 (UTC+0</w:t>
      </w:r>
      <w:r w:rsidRPr="00B8486F">
        <w:rPr>
          <w:rFonts w:ascii="Times New Roman" w:hAnsi="Times New Roman"/>
          <w:b/>
          <w:i/>
          <w:iCs/>
          <w:color w:val="161515"/>
          <w:lang w:val="ru-RU"/>
        </w:rPr>
        <w:t>2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6. 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Як очікується, переможця кон</w:t>
      </w:r>
      <w:r w:rsidR="00FA1DF1">
        <w:rPr>
          <w:rFonts w:ascii="Times New Roman" w:hAnsi="Times New Roman"/>
          <w:i/>
          <w:iCs/>
          <w:color w:val="161515"/>
          <w:lang w:val="uk-UA"/>
        </w:rPr>
        <w:t>курсу буде обрано на засіданні 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ного комітету не пізніше 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>1</w:t>
      </w:r>
      <w:r w:rsidR="00D53515">
        <w:rPr>
          <w:rFonts w:ascii="Times New Roman" w:hAnsi="Times New Roman"/>
          <w:b/>
          <w:i/>
          <w:iCs/>
          <w:color w:val="161515"/>
          <w:lang w:val="ru-RU"/>
        </w:rPr>
        <w:t>9</w:t>
      </w:r>
      <w:r w:rsidR="009C7056" w:rsidRPr="009C7056">
        <w:rPr>
          <w:rFonts w:ascii="Times New Roman" w:hAnsi="Times New Roman"/>
          <w:b/>
          <w:i/>
          <w:iCs/>
          <w:color w:val="161515"/>
          <w:lang w:val="ru-RU"/>
        </w:rPr>
        <w:t xml:space="preserve"> 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>грудня 2025</w:t>
      </w:r>
      <w:r w:rsidR="00C072DA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року. Протягом 5 робочих днів після засідання Альянс оприлюднить рішення Комітету та повідомить переможців </w:t>
      </w:r>
      <w:r w:rsidR="00FA1DF1">
        <w:rPr>
          <w:rFonts w:ascii="Times New Roman" w:hAnsi="Times New Roman"/>
          <w:i/>
          <w:iCs/>
          <w:color w:val="161515"/>
          <w:lang w:val="uk-UA"/>
        </w:rPr>
        <w:t xml:space="preserve">конкурсу 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 його результати. 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Комерційні пропозиції слід надсилати в електронному вигляді </w:t>
      </w:r>
      <w:r w:rsidR="00FA1DF1" w:rsidRPr="00A675C8">
        <w:rPr>
          <w:rFonts w:ascii="Times New Roman" w:hAnsi="Times New Roman"/>
          <w:i/>
          <w:iCs/>
          <w:color w:val="161515"/>
          <w:lang w:val="uk-UA"/>
        </w:rPr>
        <w:t xml:space="preserve">на адресу </w:t>
      </w:r>
      <w:hyperlink r:id="rId8" w:history="1">
        <w:r w:rsidR="00FA1DF1" w:rsidRPr="00EA3AA6">
          <w:rPr>
            <w:rStyle w:val="ab"/>
            <w:rFonts w:ascii="Times New Roman" w:hAnsi="Times New Roman"/>
            <w:i/>
            <w:iCs/>
            <w:lang w:val="uk-UA"/>
          </w:rPr>
          <w:t>krylova@aph.org.ua</w:t>
        </w:r>
      </w:hyperlink>
      <w:r>
        <w:rPr>
          <w:rFonts w:ascii="Times New Roman" w:hAnsi="Times New Roman"/>
          <w:i/>
          <w:iCs/>
          <w:color w:val="161515"/>
          <w:lang w:val="ru-RU"/>
        </w:rPr>
        <w:t>,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обов'яково вказати в темі листа: «До уваги Крилової Т. </w:t>
      </w:r>
      <w:r w:rsidR="009C7056">
        <w:rPr>
          <w:rFonts w:ascii="Times New Roman" w:hAnsi="Times New Roman"/>
          <w:b/>
          <w:i/>
          <w:iCs/>
          <w:color w:val="161515"/>
        </w:rPr>
        <w:t>Condoms</w:t>
      </w:r>
      <w:r w:rsidR="009C7056" w:rsidRPr="00A753FD">
        <w:rPr>
          <w:rFonts w:ascii="Times New Roman" w:hAnsi="Times New Roman"/>
          <w:b/>
          <w:i/>
          <w:iCs/>
          <w:color w:val="161515"/>
          <w:lang w:val="ru-RU"/>
        </w:rPr>
        <w:t xml:space="preserve"> </w:t>
      </w:r>
      <w:r w:rsidRPr="00A753FD">
        <w:rPr>
          <w:rFonts w:ascii="Times New Roman" w:hAnsi="Times New Roman"/>
          <w:b/>
          <w:i/>
          <w:iCs/>
          <w:color w:val="161515"/>
          <w:lang w:val="ru-RU"/>
        </w:rPr>
        <w:t>-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>11-</w:t>
      </w:r>
      <w:r w:rsidRPr="00A753FD">
        <w:rPr>
          <w:rFonts w:ascii="Times New Roman" w:hAnsi="Times New Roman"/>
          <w:b/>
          <w:i/>
          <w:iCs/>
          <w:color w:val="161515"/>
          <w:lang w:val="ru-RU"/>
        </w:rPr>
        <w:t>202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>5</w:t>
      </w:r>
      <w:r w:rsidRPr="00A675C8">
        <w:rPr>
          <w:rFonts w:ascii="Times New Roman" w:hAnsi="Times New Roman"/>
          <w:i/>
          <w:iCs/>
          <w:color w:val="161515"/>
          <w:lang w:val="uk-UA"/>
        </w:rPr>
        <w:t>»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конкурсу у конкурсній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документації.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>у.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Будь-які запитання стосовно цього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>у мають надсилатися лише у письмовій формі електронною поштою на наступну адресу: krylova@aph.org.ua (до уваги Крилової Тетяни).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Просимо звернути увагу на те, що згідно процедур проведення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072DA">
        <w:rPr>
          <w:rFonts w:ascii="Times New Roman" w:hAnsi="Times New Roman"/>
          <w:i/>
          <w:iCs/>
          <w:color w:val="161515"/>
          <w:lang w:val="uk-UA"/>
        </w:rPr>
        <w:t>0</w:t>
      </w:r>
      <w:r w:rsidR="00D53515">
        <w:rPr>
          <w:rFonts w:ascii="Times New Roman" w:hAnsi="Times New Roman"/>
          <w:i/>
          <w:iCs/>
          <w:color w:val="161515"/>
          <w:lang w:val="ru-RU"/>
        </w:rPr>
        <w:t>9</w:t>
      </w:r>
      <w:bookmarkStart w:id="0" w:name="_GoBack"/>
      <w:bookmarkEnd w:id="0"/>
      <w:r w:rsidR="00C072DA">
        <w:rPr>
          <w:rFonts w:ascii="Times New Roman" w:hAnsi="Times New Roman"/>
          <w:i/>
          <w:iCs/>
          <w:color w:val="161515"/>
          <w:lang w:val="uk-UA"/>
        </w:rPr>
        <w:t xml:space="preserve"> грудня 2025 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року 15:00 - останній термін, коли ви зможете поставити Альянсу свої запитання стосовно цього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>у.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ru-RU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Важливо: повідомте про свій намір взяти участь в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і зворотним листом на адресу </w:t>
      </w:r>
      <w:hyperlink r:id="rId9" w:history="1">
        <w:r w:rsidRPr="00EA3AA6">
          <w:rPr>
            <w:rStyle w:val="ab"/>
            <w:rFonts w:ascii="Times New Roman" w:hAnsi="Times New Roman"/>
            <w:i/>
            <w:iCs/>
            <w:lang w:val="uk-UA"/>
          </w:rPr>
          <w:t>krylova@aph.org.ua</w:t>
        </w:r>
      </w:hyperlink>
      <w:r w:rsidRPr="00A675C8">
        <w:rPr>
          <w:rFonts w:ascii="Times New Roman" w:hAnsi="Times New Roman"/>
          <w:i/>
          <w:iCs/>
          <w:color w:val="161515"/>
          <w:lang w:val="ru-RU"/>
        </w:rPr>
        <w:t xml:space="preserve"> 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Будь ласка, сповістіть про  отримання цього оголошення.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З повагою, </w:t>
      </w:r>
    </w:p>
    <w:p w:rsidR="00666443" w:rsidRPr="00666443" w:rsidRDefault="00666443" w:rsidP="00666443">
      <w:pPr>
        <w:rPr>
          <w:rFonts w:eastAsiaTheme="minorEastAsia"/>
          <w:noProof/>
          <w:lang w:eastAsia="uk-UA"/>
        </w:rPr>
      </w:pPr>
      <w:bookmarkStart w:id="1" w:name="_MailAutoSig"/>
    </w:p>
    <w:p w:rsidR="00666443" w:rsidRDefault="00666443" w:rsidP="00666443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 xml:space="preserve">Tetiana Krylova  </w:t>
      </w:r>
    </w:p>
    <w:p w:rsidR="00666443" w:rsidRDefault="00666443" w:rsidP="00666443">
      <w:pPr>
        <w:spacing w:after="40" w:line="360" w:lineRule="auto"/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  <w:t>Procurement Officer</w:t>
      </w:r>
    </w:p>
    <w:p w:rsidR="00666443" w:rsidRDefault="00666443" w:rsidP="00666443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ru-RU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 wp14:anchorId="02B848B8" wp14:editId="72CA6387">
            <wp:extent cx="2705100" cy="790575"/>
            <wp:effectExtent l="0" t="0" r="0" b="9525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443" w:rsidRDefault="00666443" w:rsidP="00666443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>Alliance for Public Health</w:t>
      </w:r>
    </w:p>
    <w:p w:rsidR="00666443" w:rsidRDefault="00666443" w:rsidP="00666443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666443" w:rsidRDefault="00666443" w:rsidP="00666443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Renaissance Business Center, Block 3, 2nd floor</w:t>
      </w:r>
    </w:p>
    <w:p w:rsidR="00666443" w:rsidRDefault="00666443" w:rsidP="00666443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</w:p>
    <w:p w:rsidR="00666443" w:rsidRDefault="00666443" w:rsidP="00666443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b"/>
            <w:rFonts w:ascii="Arial" w:eastAsiaTheme="minorEastAsia" w:hAnsi="Arial" w:cs="Arial"/>
            <w:noProof/>
            <w:color w:val="0563C1"/>
            <w:szCs w:val="18"/>
            <w:lang w:eastAsia="uk-UA"/>
          </w:rPr>
          <w:t>krylova@aph.org.ua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szCs w:val="18"/>
          </w:rPr>
          <w:t>www.aph.org.ua</w:t>
        </w:r>
      </w:hyperlink>
    </w:p>
    <w:p w:rsidR="00666443" w:rsidRDefault="00666443" w:rsidP="00666443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3" w:history="1">
        <w:r>
          <w:rPr>
            <w:rStyle w:val="ab"/>
            <w:rFonts w:ascii="Arial" w:eastAsiaTheme="minorEastAsia" w:hAnsi="Arial" w:cs="Arial"/>
            <w:noProof/>
            <w:szCs w:val="18"/>
          </w:rPr>
          <w:t>AlliancePublicHealth</w:t>
        </w:r>
      </w:hyperlink>
    </w:p>
    <w:bookmarkEnd w:id="1"/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66443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449D"/>
    <w:rsid w:val="009C7056"/>
    <w:rsid w:val="00AC6A8A"/>
    <w:rsid w:val="00B16B37"/>
    <w:rsid w:val="00BD7CFF"/>
    <w:rsid w:val="00C033CD"/>
    <w:rsid w:val="00C072DA"/>
    <w:rsid w:val="00C46328"/>
    <w:rsid w:val="00C51FA0"/>
    <w:rsid w:val="00C574EC"/>
    <w:rsid w:val="00CA1CA1"/>
    <w:rsid w:val="00D53515"/>
    <w:rsid w:val="00DF3CBF"/>
    <w:rsid w:val="00EB1A22"/>
    <w:rsid w:val="00F74A12"/>
    <w:rsid w:val="00FA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15C2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66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ylova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2164</Words>
  <Characters>1234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7</cp:revision>
  <cp:lastPrinted>2015-12-11T16:23:00Z</cp:lastPrinted>
  <dcterms:created xsi:type="dcterms:W3CDTF">2024-02-13T12:19:00Z</dcterms:created>
  <dcterms:modified xsi:type="dcterms:W3CDTF">2025-12-01T15:38:00Z</dcterms:modified>
</cp:coreProperties>
</file>